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BD1" w:rsidRPr="00A35BD1" w:rsidRDefault="00A35BD1" w:rsidP="00A35BD1">
      <w:pPr>
        <w:jc w:val="center"/>
        <w:rPr>
          <w:rFonts w:ascii="Garamond" w:hAnsi="Garamond"/>
          <w:b/>
          <w:bCs/>
        </w:rPr>
      </w:pPr>
      <w:r w:rsidRPr="00A35BD1">
        <w:rPr>
          <w:rFonts w:ascii="Garamond" w:hAnsi="Garamond"/>
          <w:b/>
          <w:bCs/>
        </w:rPr>
        <w:t>TERZA RELAZIONE SULLO STATO DI ATTUAZIONE DEL PNRR</w:t>
      </w:r>
    </w:p>
    <w:p w:rsidR="00A35BD1" w:rsidRPr="00A35BD1" w:rsidRDefault="00A35BD1" w:rsidP="00A35BD1">
      <w:pPr>
        <w:jc w:val="center"/>
        <w:rPr>
          <w:rFonts w:ascii="Garamond" w:hAnsi="Garamond"/>
          <w:b/>
          <w:bCs/>
        </w:rPr>
      </w:pPr>
      <w:r w:rsidRPr="00A35BD1">
        <w:rPr>
          <w:rFonts w:ascii="Garamond" w:hAnsi="Garamond"/>
          <w:b/>
          <w:bCs/>
        </w:rPr>
        <w:t>31 maggio 2023</w:t>
      </w:r>
    </w:p>
    <w:p w:rsidR="00A35BD1" w:rsidRPr="00A35BD1" w:rsidRDefault="00A35BD1" w:rsidP="00A35BD1">
      <w:pPr>
        <w:jc w:val="center"/>
        <w:rPr>
          <w:rFonts w:ascii="Garamond" w:hAnsi="Garamond"/>
          <w:b/>
          <w:bCs/>
        </w:rPr>
      </w:pPr>
    </w:p>
    <w:p w:rsidR="00A35BD1" w:rsidRPr="00A35BD1" w:rsidRDefault="00A35BD1" w:rsidP="00A35BD1">
      <w:pPr>
        <w:jc w:val="center"/>
        <w:rPr>
          <w:rFonts w:ascii="Garamond" w:hAnsi="Garamond"/>
          <w:b/>
          <w:bCs/>
          <w:i/>
          <w:iCs/>
        </w:rPr>
      </w:pPr>
      <w:r w:rsidRPr="00A35BD1">
        <w:rPr>
          <w:rFonts w:ascii="Garamond" w:hAnsi="Garamond"/>
          <w:b/>
          <w:bCs/>
          <w:i/>
          <w:iCs/>
        </w:rPr>
        <w:t>Misure di riferimento e relative criticità</w:t>
      </w:r>
    </w:p>
    <w:p w:rsidR="001D4FD5" w:rsidRPr="00A35BD1" w:rsidRDefault="001D4FD5" w:rsidP="00A35BD1">
      <w:pPr>
        <w:jc w:val="both"/>
        <w:rPr>
          <w:rFonts w:ascii="Garamond" w:hAnsi="Garamond"/>
        </w:rPr>
      </w:pPr>
    </w:p>
    <w:p w:rsidR="001D4FD5" w:rsidRPr="00A35BD1" w:rsidRDefault="001D4FD5" w:rsidP="00A35BD1">
      <w:pPr>
        <w:jc w:val="both"/>
        <w:rPr>
          <w:rFonts w:ascii="Garamond" w:hAnsi="Garamond"/>
        </w:rPr>
      </w:pPr>
    </w:p>
    <w:tbl>
      <w:tblPr>
        <w:tblStyle w:val="Grigliatabell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344"/>
        <w:gridCol w:w="2446"/>
        <w:gridCol w:w="2103"/>
        <w:gridCol w:w="2586"/>
        <w:gridCol w:w="2846"/>
      </w:tblGrid>
      <w:tr w:rsidR="00A35BD1" w:rsidRPr="00A35BD1" w:rsidTr="00A35BD1">
        <w:tc>
          <w:tcPr>
            <w:tcW w:w="2127" w:type="dxa"/>
            <w:shd w:val="clear" w:color="auto" w:fill="BDD6EE" w:themeFill="accent5" w:themeFillTint="66"/>
          </w:tcPr>
          <w:p w:rsid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Minister</w:t>
            </w:r>
            <w:r w:rsidR="00A35BD1">
              <w:rPr>
                <w:rFonts w:ascii="Garamond" w:hAnsi="Garamond"/>
                <w:b/>
                <w:bCs/>
                <w:i/>
                <w:iCs/>
              </w:rPr>
              <w:t>o</w:t>
            </w:r>
          </w:p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Amministrazione</w:t>
            </w:r>
          </w:p>
        </w:tc>
        <w:tc>
          <w:tcPr>
            <w:tcW w:w="3344" w:type="dxa"/>
            <w:shd w:val="clear" w:color="auto" w:fill="BDD6EE" w:themeFill="accent5" w:themeFillTint="66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Misura</w:t>
            </w:r>
          </w:p>
        </w:tc>
        <w:tc>
          <w:tcPr>
            <w:tcW w:w="2446" w:type="dxa"/>
            <w:shd w:val="clear" w:color="auto" w:fill="BDD6EE" w:themeFill="accent5" w:themeFillTint="66"/>
          </w:tcPr>
          <w:p w:rsidR="001D4FD5" w:rsidRPr="001D4FD5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Eventi e circostanze oggettive: aumento costi e/o </w:t>
            </w:r>
            <w:proofErr w:type="spellStart"/>
            <w:r w:rsidRPr="001D4FD5">
              <w:rPr>
                <w:rFonts w:ascii="Garamond" w:hAnsi="Garamond"/>
                <w:b/>
                <w:bCs/>
                <w:i/>
                <w:iCs/>
              </w:rPr>
              <w:t>scarsita</w:t>
            </w:r>
            <w:proofErr w:type="spellEnd"/>
            <w:r w:rsidRPr="001D4FD5">
              <w:rPr>
                <w:rFonts w:ascii="Garamond" w:hAnsi="Garamond"/>
                <w:b/>
                <w:bCs/>
                <w:i/>
                <w:iCs/>
              </w:rPr>
              <w:t>̀ materiali</w:t>
            </w:r>
          </w:p>
          <w:p w:rsidR="001D4FD5" w:rsidRPr="00A35BD1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2103" w:type="dxa"/>
            <w:shd w:val="clear" w:color="auto" w:fill="BDD6EE" w:themeFill="accent5" w:themeFillTint="66"/>
          </w:tcPr>
          <w:p w:rsidR="001D4FD5" w:rsidRPr="001D4FD5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1D4FD5">
              <w:rPr>
                <w:rFonts w:ascii="Garamond" w:hAnsi="Garamond"/>
                <w:b/>
                <w:bCs/>
                <w:i/>
                <w:iCs/>
              </w:rPr>
              <w:t>Eventi e circostanze oggettive: squilibrio offerta/domanda,</w:t>
            </w:r>
          </w:p>
          <w:p w:rsidR="001D4FD5" w:rsidRPr="00A35BD1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investimenti </w:t>
            </w:r>
            <w:r w:rsidRPr="00A35BD1">
              <w:rPr>
                <w:rFonts w:ascii="Garamond" w:hAnsi="Garamond"/>
                <w:b/>
                <w:bCs/>
                <w:i/>
                <w:iCs/>
              </w:rPr>
              <w:t xml:space="preserve">non attrattivi, 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impreparazione </w:t>
            </w:r>
            <w:r w:rsidRPr="00A35BD1">
              <w:rPr>
                <w:rFonts w:ascii="Garamond" w:hAnsi="Garamond"/>
                <w:b/>
                <w:bCs/>
                <w:i/>
                <w:iCs/>
              </w:rPr>
              <w:t xml:space="preserve">del tessuto 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>produttivo</w:t>
            </w:r>
          </w:p>
        </w:tc>
        <w:tc>
          <w:tcPr>
            <w:tcW w:w="2586" w:type="dxa"/>
            <w:shd w:val="clear" w:color="auto" w:fill="BDD6EE" w:themeFill="accent5" w:themeFillTint="66"/>
          </w:tcPr>
          <w:p w:rsidR="001D4FD5" w:rsidRPr="001D4FD5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1D4FD5">
              <w:rPr>
                <w:rFonts w:ascii="Garamond" w:hAnsi="Garamond"/>
                <w:b/>
                <w:bCs/>
                <w:i/>
                <w:iCs/>
              </w:rPr>
              <w:t>Difficoltà normative, amministrative, gestionali, ecc.</w:t>
            </w:r>
          </w:p>
          <w:p w:rsidR="001D4FD5" w:rsidRPr="00A35BD1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2846" w:type="dxa"/>
            <w:shd w:val="clear" w:color="auto" w:fill="BDD6EE" w:themeFill="accent5" w:themeFillTint="66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R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>idefinizione CID e OA (errori, rimodulazione target, indicatori per rendicontazione, ecc.)</w:t>
            </w: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MIC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shd w:val="clear" w:color="auto" w:fill="FFFFFF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>M1C3 – Investimento 2.3: Programmi per valorizzare l’</w:t>
            </w:r>
            <w:proofErr w:type="spellStart"/>
            <w:r w:rsidRPr="00A35BD1">
              <w:rPr>
                <w:rFonts w:ascii="Garamond" w:hAnsi="Garamond" w:cs="Calibri"/>
              </w:rPr>
              <w:t>identita</w:t>
            </w:r>
            <w:proofErr w:type="spellEnd"/>
            <w:r w:rsidRPr="00A35BD1">
              <w:rPr>
                <w:rFonts w:ascii="Garamond" w:hAnsi="Garamond" w:cs="Calibri"/>
              </w:rPr>
              <w:t xml:space="preserve">̀ dei luoghi: parchi e giardini storici </w:t>
            </w:r>
          </w:p>
        </w:tc>
        <w:tc>
          <w:tcPr>
            <w:tcW w:w="24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03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58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8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MIT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M5C2 – Investimento 2.3: Programma innovativo della </w:t>
            </w:r>
            <w:proofErr w:type="spellStart"/>
            <w:r w:rsidRPr="00A35BD1">
              <w:rPr>
                <w:rFonts w:ascii="Garamond" w:hAnsi="Garamond" w:cs="Calibri"/>
              </w:rPr>
              <w:t>qualita</w:t>
            </w:r>
            <w:proofErr w:type="spellEnd"/>
            <w:r w:rsidRPr="00A35BD1">
              <w:rPr>
                <w:rFonts w:ascii="Garamond" w:hAnsi="Garamond" w:cs="Calibri"/>
              </w:rPr>
              <w:t xml:space="preserve">̀ dell’abitare – </w:t>
            </w:r>
            <w:proofErr w:type="spellStart"/>
            <w:r w:rsidRPr="00A35BD1">
              <w:rPr>
                <w:rFonts w:ascii="Garamond" w:hAnsi="Garamond" w:cs="Calibri"/>
              </w:rPr>
              <w:t>PINQuA</w:t>
            </w:r>
            <w:proofErr w:type="spellEnd"/>
            <w:r w:rsidRPr="00A35BD1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4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103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8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8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MASE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M2C1 – Investimento 1.2: Progetti “faro” di economia circolare </w:t>
            </w:r>
          </w:p>
        </w:tc>
        <w:tc>
          <w:tcPr>
            <w:tcW w:w="24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03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58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8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MASE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M2C2 – Investimento 1.2: Promozione rinnovabili per le </w:t>
            </w:r>
            <w:proofErr w:type="spellStart"/>
            <w:r w:rsidRPr="00A35BD1">
              <w:rPr>
                <w:rFonts w:ascii="Garamond" w:hAnsi="Garamond" w:cs="Calibri"/>
              </w:rPr>
              <w:t>comunita</w:t>
            </w:r>
            <w:proofErr w:type="spellEnd"/>
            <w:r w:rsidRPr="00A35BD1">
              <w:rPr>
                <w:rFonts w:ascii="Garamond" w:hAnsi="Garamond" w:cs="Calibri"/>
              </w:rPr>
              <w:t xml:space="preserve">̀ energetiche e l'auto-consumo </w:t>
            </w:r>
          </w:p>
        </w:tc>
        <w:tc>
          <w:tcPr>
            <w:tcW w:w="24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103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8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8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MITUR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M1C3 – Investimento 4.3: Caput Mundi. Next Generation EU per grandi eventi turistici </w:t>
            </w:r>
          </w:p>
        </w:tc>
        <w:tc>
          <w:tcPr>
            <w:tcW w:w="24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03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58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8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MINT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M5C2 – Investimento 2.2b: Piani urbani integrati – Fondo di fondi della BEI </w:t>
            </w:r>
          </w:p>
        </w:tc>
        <w:tc>
          <w:tcPr>
            <w:tcW w:w="24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03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58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8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lastRenderedPageBreak/>
              <w:t>PCM - COESIONE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M5C3 – Investimento 1.1.2: Aree interne: servizi sanitari di </w:t>
            </w:r>
            <w:proofErr w:type="spellStart"/>
            <w:r w:rsidRPr="00A35BD1">
              <w:rPr>
                <w:rFonts w:ascii="Garamond" w:hAnsi="Garamond" w:cs="Calibri"/>
              </w:rPr>
              <w:t>prossimita</w:t>
            </w:r>
            <w:proofErr w:type="spellEnd"/>
            <w:r w:rsidRPr="00A35BD1">
              <w:rPr>
                <w:rFonts w:ascii="Garamond" w:hAnsi="Garamond" w:cs="Calibri"/>
              </w:rPr>
              <w:t xml:space="preserve">̀ </w:t>
            </w:r>
          </w:p>
        </w:tc>
        <w:tc>
          <w:tcPr>
            <w:tcW w:w="24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03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58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8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M4C1 – Investimento 1.1: Piano per asili nido e scuole dell’infanzia e servizi di educazione e cura per la prima infanzia </w:t>
            </w:r>
          </w:p>
        </w:tc>
        <w:tc>
          <w:tcPr>
            <w:tcW w:w="24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103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8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8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M4C1 – Investimento 1.4: Intervento straordinario finalizzato alla riduzione dei divari territoriali nei cicli I e II della scuola secondaria di secondo grado </w:t>
            </w:r>
          </w:p>
        </w:tc>
        <w:tc>
          <w:tcPr>
            <w:tcW w:w="24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03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8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8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</w:tr>
      <w:tr w:rsidR="00A35BD1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MSAL</w:t>
            </w:r>
          </w:p>
        </w:tc>
        <w:tc>
          <w:tcPr>
            <w:tcW w:w="3344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M6C1 – Investimento 1.1: Casa della </w:t>
            </w:r>
            <w:proofErr w:type="spellStart"/>
            <w:r w:rsidRPr="00A35BD1">
              <w:rPr>
                <w:rFonts w:ascii="Garamond" w:hAnsi="Garamond" w:cs="Calibri"/>
              </w:rPr>
              <w:t>Comunita</w:t>
            </w:r>
            <w:proofErr w:type="spellEnd"/>
            <w:r w:rsidRPr="00A35BD1">
              <w:rPr>
                <w:rFonts w:ascii="Garamond" w:hAnsi="Garamond" w:cs="Calibri"/>
              </w:rPr>
              <w:t>̀ (</w:t>
            </w:r>
            <w:proofErr w:type="spellStart"/>
            <w:r w:rsidRPr="00A35BD1">
              <w:rPr>
                <w:rFonts w:ascii="Garamond" w:hAnsi="Garamond" w:cs="Calibri"/>
              </w:rPr>
              <w:t>CdC</w:t>
            </w:r>
            <w:proofErr w:type="spellEnd"/>
            <w:r w:rsidRPr="00A35BD1">
              <w:rPr>
                <w:rFonts w:ascii="Garamond" w:hAnsi="Garamond" w:cs="Calibri"/>
              </w:rPr>
              <w:t xml:space="preserve">) e presa in carico della persona </w:t>
            </w:r>
          </w:p>
        </w:tc>
        <w:tc>
          <w:tcPr>
            <w:tcW w:w="2446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103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258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846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1D4FD5" w:rsidRPr="00A35BD1" w:rsidRDefault="001D4FD5" w:rsidP="00A35BD1">
      <w:pPr>
        <w:jc w:val="both"/>
        <w:rPr>
          <w:rFonts w:ascii="Garamond" w:hAnsi="Garamond"/>
        </w:rPr>
      </w:pPr>
    </w:p>
    <w:p w:rsidR="001D4FD5" w:rsidRPr="00A35BD1" w:rsidRDefault="001D4FD5" w:rsidP="00A35BD1">
      <w:pPr>
        <w:jc w:val="both"/>
        <w:rPr>
          <w:rFonts w:ascii="Garamond" w:hAnsi="Garamond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5055"/>
        <w:gridCol w:w="4159"/>
      </w:tblGrid>
      <w:tr w:rsidR="001D4FD5" w:rsidRPr="00A35BD1" w:rsidTr="00A35BD1">
        <w:tc>
          <w:tcPr>
            <w:tcW w:w="2127" w:type="dxa"/>
            <w:shd w:val="clear" w:color="auto" w:fill="BDD6EE" w:themeFill="accent5" w:themeFillTint="66"/>
          </w:tcPr>
          <w:p w:rsidR="00A35BD1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Ministero</w:t>
            </w:r>
          </w:p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Amministrazione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Misura</w:t>
            </w:r>
          </w:p>
        </w:tc>
        <w:tc>
          <w:tcPr>
            <w:tcW w:w="5055" w:type="dxa"/>
            <w:shd w:val="clear" w:color="auto" w:fill="BDD6EE" w:themeFill="accent5" w:themeFillTint="66"/>
          </w:tcPr>
          <w:p w:rsid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Eventi e circostanze oggettive: </w:t>
            </w:r>
          </w:p>
          <w:p w:rsidR="001D4FD5" w:rsidRPr="001D4FD5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aumento costi e/o </w:t>
            </w:r>
            <w:proofErr w:type="spellStart"/>
            <w:r w:rsidRPr="001D4FD5">
              <w:rPr>
                <w:rFonts w:ascii="Garamond" w:hAnsi="Garamond"/>
                <w:b/>
                <w:bCs/>
                <w:i/>
                <w:iCs/>
              </w:rPr>
              <w:t>scarsita</w:t>
            </w:r>
            <w:proofErr w:type="spellEnd"/>
            <w:r w:rsidRPr="001D4FD5">
              <w:rPr>
                <w:rFonts w:ascii="Garamond" w:hAnsi="Garamond"/>
                <w:b/>
                <w:bCs/>
                <w:i/>
                <w:iCs/>
              </w:rPr>
              <w:t>̀ materie prime</w:t>
            </w:r>
          </w:p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4159" w:type="dxa"/>
            <w:shd w:val="clear" w:color="auto" w:fill="BDD6EE" w:themeFill="accent5" w:themeFillTint="66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35BD1">
              <w:rPr>
                <w:rFonts w:ascii="Garamond" w:hAnsi="Garamond"/>
                <w:b/>
                <w:bCs/>
                <w:i/>
                <w:iCs/>
              </w:rPr>
              <w:t>E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venti e </w:t>
            </w:r>
            <w:r w:rsidRPr="00A35BD1">
              <w:rPr>
                <w:rFonts w:ascii="Garamond" w:hAnsi="Garamond"/>
                <w:b/>
                <w:bCs/>
                <w:i/>
                <w:iCs/>
              </w:rPr>
              <w:t xml:space="preserve">circostanze 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oggettive: </w:t>
            </w:r>
            <w:r w:rsidRPr="00A35BD1">
              <w:rPr>
                <w:rFonts w:ascii="Garamond" w:hAnsi="Garamond"/>
                <w:b/>
                <w:bCs/>
                <w:i/>
                <w:iCs/>
              </w:rPr>
              <w:t xml:space="preserve">bandi 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 xml:space="preserve">deserti, </w:t>
            </w:r>
            <w:r w:rsidRPr="00A35BD1">
              <w:rPr>
                <w:rFonts w:ascii="Garamond" w:hAnsi="Garamond"/>
                <w:b/>
                <w:bCs/>
                <w:i/>
                <w:iCs/>
              </w:rPr>
              <w:t xml:space="preserve">criticità </w:t>
            </w:r>
            <w:r w:rsidRPr="001D4FD5">
              <w:rPr>
                <w:rFonts w:ascii="Garamond" w:hAnsi="Garamond"/>
                <w:b/>
                <w:bCs/>
                <w:i/>
                <w:iCs/>
              </w:rPr>
              <w:t>settoriali, ecc</w:t>
            </w:r>
            <w:r w:rsidR="00A35BD1">
              <w:rPr>
                <w:rFonts w:ascii="Garamond" w:hAnsi="Garamond"/>
                <w:b/>
                <w:bCs/>
                <w:i/>
                <w:iCs/>
              </w:rPr>
              <w:t>.</w:t>
            </w:r>
          </w:p>
        </w:tc>
      </w:tr>
      <w:tr w:rsidR="001D4FD5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MINT</w:t>
            </w:r>
          </w:p>
        </w:tc>
        <w:tc>
          <w:tcPr>
            <w:tcW w:w="4111" w:type="dxa"/>
          </w:tcPr>
          <w:p w:rsidR="001D4FD5" w:rsidRPr="00A35BD1" w:rsidRDefault="001D4FD5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M5C2 – Investimento 2.1: Investimenti in progetti di rigenerazione urbana, volti a ridurre situazioni di emarginazione e degrado sociale </w:t>
            </w:r>
          </w:p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055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  <w:tc>
          <w:tcPr>
            <w:tcW w:w="4159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1D4FD5" w:rsidRPr="00A35BD1" w:rsidTr="00A35BD1">
        <w:tc>
          <w:tcPr>
            <w:tcW w:w="2127" w:type="dxa"/>
          </w:tcPr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/>
              </w:rPr>
              <w:t>PCM – MINISTRO FAMIGLIA</w:t>
            </w:r>
          </w:p>
        </w:tc>
        <w:tc>
          <w:tcPr>
            <w:tcW w:w="4111" w:type="dxa"/>
          </w:tcPr>
          <w:p w:rsidR="00A35BD1" w:rsidRPr="00A35BD1" w:rsidRDefault="00A35BD1" w:rsidP="00A35BD1">
            <w:pPr>
              <w:pStyle w:val="NormaleWeb"/>
              <w:jc w:val="both"/>
              <w:rPr>
                <w:rFonts w:ascii="Garamond" w:hAnsi="Garamond"/>
              </w:rPr>
            </w:pPr>
            <w:r w:rsidRPr="00A35BD1">
              <w:rPr>
                <w:rFonts w:ascii="Garamond" w:hAnsi="Garamond" w:cs="Calibri"/>
              </w:rPr>
              <w:t xml:space="preserve">M5C1 – Investimento 1.3: Sistema di certificazione della </w:t>
            </w:r>
            <w:proofErr w:type="spellStart"/>
            <w:r w:rsidRPr="00A35BD1">
              <w:rPr>
                <w:rFonts w:ascii="Garamond" w:hAnsi="Garamond" w:cs="Calibri"/>
              </w:rPr>
              <w:t>parita</w:t>
            </w:r>
            <w:proofErr w:type="spellEnd"/>
            <w:r w:rsidRPr="00A35BD1">
              <w:rPr>
                <w:rFonts w:ascii="Garamond" w:hAnsi="Garamond" w:cs="Calibri"/>
              </w:rPr>
              <w:t xml:space="preserve">̀ di genere </w:t>
            </w:r>
          </w:p>
          <w:p w:rsidR="001D4FD5" w:rsidRPr="00A35BD1" w:rsidRDefault="001D4FD5" w:rsidP="00A35B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055" w:type="dxa"/>
          </w:tcPr>
          <w:p w:rsidR="001D4FD5" w:rsidRPr="00A35BD1" w:rsidRDefault="001D4FD5" w:rsidP="00A35BD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159" w:type="dxa"/>
          </w:tcPr>
          <w:p w:rsidR="001D4FD5" w:rsidRPr="00A35BD1" w:rsidRDefault="00A35BD1" w:rsidP="00A35BD1">
            <w:pPr>
              <w:jc w:val="center"/>
              <w:rPr>
                <w:rFonts w:ascii="Garamond" w:hAnsi="Garamond"/>
                <w:b/>
                <w:bCs/>
              </w:rPr>
            </w:pPr>
            <w:r w:rsidRPr="00A35BD1">
              <w:rPr>
                <w:rFonts w:ascii="Garamond" w:hAnsi="Garamond"/>
                <w:b/>
                <w:bCs/>
              </w:rPr>
              <w:t>X</w:t>
            </w:r>
          </w:p>
        </w:tc>
      </w:tr>
    </w:tbl>
    <w:p w:rsidR="001D4FD5" w:rsidRPr="00A35BD1" w:rsidRDefault="001D4FD5" w:rsidP="00A35BD1">
      <w:pPr>
        <w:jc w:val="both"/>
        <w:rPr>
          <w:rFonts w:ascii="Garamond" w:hAnsi="Garamond"/>
        </w:rPr>
      </w:pPr>
    </w:p>
    <w:sectPr w:rsidR="001D4FD5" w:rsidRPr="00A35BD1" w:rsidSect="001D4FD5">
      <w:footerReference w:type="even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FAC" w:rsidRDefault="00D50FAC" w:rsidP="00A35BD1">
      <w:r>
        <w:separator/>
      </w:r>
    </w:p>
  </w:endnote>
  <w:endnote w:type="continuationSeparator" w:id="0">
    <w:p w:rsidR="00D50FAC" w:rsidRDefault="00D50FAC" w:rsidP="00A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36207133"/>
      <w:docPartObj>
        <w:docPartGallery w:val="Page Numbers (Bottom of Page)"/>
        <w:docPartUnique/>
      </w:docPartObj>
    </w:sdtPr>
    <w:sdtContent>
      <w:p w:rsidR="00A35BD1" w:rsidRDefault="00A35BD1" w:rsidP="00791E4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35BD1" w:rsidRDefault="00A35B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73586126"/>
      <w:docPartObj>
        <w:docPartGallery w:val="Page Numbers (Bottom of Page)"/>
        <w:docPartUnique/>
      </w:docPartObj>
    </w:sdtPr>
    <w:sdtContent>
      <w:p w:rsidR="00A35BD1" w:rsidRDefault="00A35BD1" w:rsidP="00791E4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35BD1" w:rsidRDefault="00A35B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FAC" w:rsidRDefault="00D50FAC" w:rsidP="00A35BD1">
      <w:r>
        <w:separator/>
      </w:r>
    </w:p>
  </w:footnote>
  <w:footnote w:type="continuationSeparator" w:id="0">
    <w:p w:rsidR="00D50FAC" w:rsidRDefault="00D50FAC" w:rsidP="00A3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D5"/>
    <w:rsid w:val="001D4FD5"/>
    <w:rsid w:val="00A35BD1"/>
    <w:rsid w:val="00D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9D41"/>
  <w15:chartTrackingRefBased/>
  <w15:docId w15:val="{851226C1-0749-B24E-B1C1-D10111E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D4F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35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D1"/>
  </w:style>
  <w:style w:type="character" w:styleId="Numeropagina">
    <w:name w:val="page number"/>
    <w:basedOn w:val="Carpredefinitoparagrafo"/>
    <w:uiPriority w:val="99"/>
    <w:semiHidden/>
    <w:unhideWhenUsed/>
    <w:rsid w:val="00A3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2023-06-16T08:20:00Z</dcterms:created>
  <dcterms:modified xsi:type="dcterms:W3CDTF">2023-06-16T08:36:00Z</dcterms:modified>
</cp:coreProperties>
</file>